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67907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4E976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区域创新能力提升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计划项目申报指南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（安康市）</w:t>
      </w:r>
      <w:bookmarkStart w:id="0" w:name="_GoBack"/>
      <w:bookmarkEnd w:id="0"/>
    </w:p>
    <w:p w14:paraId="64CC9F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</w:p>
    <w:p w14:paraId="3E6BE25A">
      <w:pPr>
        <w:rPr>
          <w:rFonts w:hint="default"/>
          <w:highlight w:val="none"/>
          <w:lang w:val="en-US" w:eastAsia="zh-CN"/>
        </w:rPr>
      </w:pPr>
    </w:p>
    <w:p w14:paraId="54E6D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秦</w:t>
      </w:r>
      <w:r>
        <w:rPr>
          <w:rFonts w:hint="eastAsia" w:ascii="黑体" w:hAnsi="黑体" w:eastAsia="黑体" w:cs="黑体"/>
          <w:color w:val="auto"/>
          <w:kern w:val="44"/>
          <w:sz w:val="32"/>
          <w:szCs w:val="32"/>
          <w:highlight w:val="none"/>
          <w:lang w:val="en-US" w:eastAsia="zh-CN" w:bidi="ar-SA"/>
        </w:rPr>
        <w:t>巴</w:t>
      </w:r>
      <w:r>
        <w:rPr>
          <w:rFonts w:hint="eastAsia" w:eastAsia="黑体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山区</w:t>
      </w:r>
      <w:r>
        <w:rPr>
          <w:rFonts w:hint="eastAsia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特色</w:t>
      </w:r>
      <w:r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中药材产业关键技术</w:t>
      </w:r>
      <w:r>
        <w:rPr>
          <w:rFonts w:hint="eastAsia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攻关</w:t>
      </w:r>
      <w:r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与应用</w:t>
      </w:r>
      <w:r>
        <w:rPr>
          <w:rFonts w:hint="eastAsia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推广</w:t>
      </w:r>
      <w:r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安康市重大技术需求，</w:t>
      </w:r>
      <w:r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含创新点</w:t>
      </w:r>
      <w:r>
        <w:rPr>
          <w:rFonts w:hint="eastAsia" w:eastAsia="黑体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个）</w:t>
      </w:r>
    </w:p>
    <w:p w14:paraId="3D2575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1.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秦巴特色中药材功效成分提取的关键技术研究及产业化应用</w:t>
      </w:r>
    </w:p>
    <w:p w14:paraId="3176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研究方向</w:t>
      </w:r>
      <w:r>
        <w:rPr>
          <w:rFonts w:hint="default"/>
          <w:b/>
          <w:bCs/>
          <w:color w:val="auto"/>
          <w:highlight w:val="none"/>
          <w:lang w:val="en-US" w:eastAsia="zh-CN"/>
        </w:rPr>
        <w:t>：</w:t>
      </w:r>
      <w:r>
        <w:rPr>
          <w:rFonts w:hint="default"/>
          <w:color w:val="auto"/>
          <w:highlight w:val="none"/>
          <w:lang w:val="en-US" w:eastAsia="zh-CN"/>
        </w:rPr>
        <w:t>通过基因工程、发酵工程等生物工程技术，对秦巴特色中药材功效成分进行转化提取，减少传统提取工艺带来的提取效率低、溶剂残留量大及环境污染严重等难题，建立绿色高效的提取工艺；采用易于转化生产的色谱分离技术、膜分离技术等对功效成分进行分离纯化，提高产物纯度；进一步探索基于秦巴特色中药材功效成分的活性评价及产品开发，并进行产业化推广应用。</w:t>
      </w:r>
    </w:p>
    <w:p w14:paraId="32FBDA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考核指标：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构建1种基于秦巴特色中药材功效成分的生物提取技术方案；建立1种适合于工业化生产的分离纯化工艺条件；基于秦巴特色中药材功效成分，开发特色产品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—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个；制定提取、分离纯化或产品开发等相关技术标准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2件；申请专利1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2件。</w:t>
      </w:r>
    </w:p>
    <w:p w14:paraId="36A589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3" w:firstLineChars="20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2.拐枣、黄精等药食同源中药材综合利用研究</w:t>
      </w:r>
    </w:p>
    <w:p w14:paraId="1C70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研究方向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/>
          <w:color w:val="auto"/>
          <w:highlight w:val="none"/>
          <w:lang w:val="en-US" w:eastAsia="zh-CN"/>
        </w:rPr>
        <w:t>以秦巴山区特色中药材拐枣、黄精等为研究对象，明确其主要功效成分群与质量标志物，解析其优良品质形成的机制，揭示作用机理，挖掘非药用部位资源价值，开发系列产品，为其高品质资源保障与可持续利用提供科学依据。</w:t>
      </w:r>
    </w:p>
    <w:p w14:paraId="0E86B1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考核指标：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明确拐枣、黄精等药食同源中药材的成分组成及功效成分含量；建立1种基于该药食同源中药材功效成分的分析检测方法；建立1套以上的配套加工技术体系，有效减少中药材加工过程中的功能成分损失；建立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种以上功能成分活性评价方法，明确拐枣、黄精等同源中药材的功能作用；基于拐枣、黄精等秦巴药食同源中药材，开发功能产品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3个，并进行推广应用；带动上下游产业就业人数增加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00人；申请专利1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2件。</w:t>
      </w:r>
    </w:p>
    <w:p w14:paraId="6B1841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3.陕南绞股蓝、淫羊藿等优良品种的选育及其绿色生态种植技术推广</w:t>
      </w:r>
    </w:p>
    <w:p w14:paraId="34F0E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研究方向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绞股蓝等优良品种的选育。建立陕南特色中药材绞股蓝等优良种质资源圃，通过收集绞股蓝种质资源，开展种质资源评价及贮存技术研究；通过生物育种技术进行绞股蓝等新品种选育研究；通过品质评价，筛选优质种质资源。绞股蓝等绿色生态种植技术示范推广。开展优质绞股蓝等品种快繁育苗技术研究，通过肥水管理、虫害绿色防控等关键技术研究，提升种苗质量，并实现产业化，示范推广达一定规模。</w:t>
      </w:r>
    </w:p>
    <w:p w14:paraId="4FB63A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考核指标：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培育出产量高、有效成分含量高、抗病虫性强、适应性广的新品种1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2个；新品种有效成分比普通品种高5%以上；制订相关技术标准1项以上；开展技术培训10次以上，带动农户亩产增产10%以上、亩均增收500元以上。</w:t>
      </w:r>
    </w:p>
    <w:p w14:paraId="692EAE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4.猪苓、葛根等中</w:t>
      </w:r>
      <w:r>
        <w:rPr>
          <w:rFonts w:hint="default"/>
          <w:color w:val="auto"/>
          <w:highlight w:val="none"/>
          <w:lang w:val="en-US" w:eastAsia="zh-CN"/>
        </w:rPr>
        <w:t>药材采收及产地初加工关键技术体系构建及应用</w:t>
      </w:r>
    </w:p>
    <w:p w14:paraId="748AF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eastAsia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研究方向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以秦巴特色中药材猪苓、葛根为研究对象，分析其活性成分累积规律，确定最佳采收时期。围绕清洗、切制、干燥、贮藏等环节，建立中药材产地加工规范化操作规程，制定相应质量标准，不断提升产地加工水平，有效保障中药材质量。</w:t>
      </w:r>
    </w:p>
    <w:p w14:paraId="5708A5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考核指标：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构建特色中药材生产质量追溯系统1套；研究制定产地采收、加工技术流程标准2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3个；培养技术人才3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5人；申请专利1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；带动农户年均增收2000-3000元/户。</w:t>
      </w:r>
    </w:p>
    <w:p w14:paraId="2B5509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5.</w:t>
      </w:r>
      <w:r>
        <w:rPr>
          <w:rFonts w:hint="default"/>
          <w:color w:val="auto"/>
          <w:highlight w:val="none"/>
          <w:lang w:val="en-US" w:eastAsia="zh-CN"/>
        </w:rPr>
        <w:t>艾草</w:t>
      </w:r>
      <w:r>
        <w:rPr>
          <w:rFonts w:hint="eastAsia"/>
          <w:color w:val="auto"/>
          <w:highlight w:val="none"/>
          <w:lang w:val="en-US" w:eastAsia="zh-CN"/>
        </w:rPr>
        <w:t>、杜仲等</w:t>
      </w:r>
      <w:r>
        <w:rPr>
          <w:rFonts w:hint="default"/>
          <w:color w:val="auto"/>
          <w:highlight w:val="none"/>
          <w:lang w:val="en-US" w:eastAsia="zh-CN"/>
        </w:rPr>
        <w:t>大健康产业共性关键技术的研究</w:t>
      </w:r>
    </w:p>
    <w:p w14:paraId="591D1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研究方向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以秦巴山区艾草、杜仲等中药材为研究对象，开展大健康产品开发研制，并制定相应产品的标准，实现2</w:t>
      </w:r>
      <w:r>
        <w:rPr>
          <w:rFonts w:hint="eastAsia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3个新产品的产业化，有效带动区域经济发展。</w:t>
      </w:r>
    </w:p>
    <w:p w14:paraId="0FBEA1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考核指标：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建立秦岭艾草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、杜仲等中药材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良种繁育及质量控制体系；形成秦岭艾草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、杜仲等中药材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种植技术规范1套，示范种植1000亩；建立秦岭艾草、杜仲等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中药材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现代化生产体系，实现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中药材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开发利用效率提升30%；开发秦岭艾草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、杜仲等中药材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相关产品2-3款，并进行规模化生产与推广。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956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4F19E"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A4F19E"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458BA"/>
    <w:rsid w:val="028458BA"/>
    <w:rsid w:val="083856A5"/>
    <w:rsid w:val="084C34CD"/>
    <w:rsid w:val="08844E22"/>
    <w:rsid w:val="0B3D750A"/>
    <w:rsid w:val="0D8B27AF"/>
    <w:rsid w:val="0F4470B9"/>
    <w:rsid w:val="12F1035A"/>
    <w:rsid w:val="13EA4055"/>
    <w:rsid w:val="14217DBC"/>
    <w:rsid w:val="15431BC1"/>
    <w:rsid w:val="17533C12"/>
    <w:rsid w:val="17800EAB"/>
    <w:rsid w:val="1A5D54D3"/>
    <w:rsid w:val="1AE46874"/>
    <w:rsid w:val="1D061E87"/>
    <w:rsid w:val="1EDB4030"/>
    <w:rsid w:val="1F2B3DF2"/>
    <w:rsid w:val="21000617"/>
    <w:rsid w:val="23B048C6"/>
    <w:rsid w:val="26754527"/>
    <w:rsid w:val="2A0140CD"/>
    <w:rsid w:val="2A054EAE"/>
    <w:rsid w:val="2B75075B"/>
    <w:rsid w:val="2DC0604D"/>
    <w:rsid w:val="2ECD6C74"/>
    <w:rsid w:val="301B3A0F"/>
    <w:rsid w:val="31C679AA"/>
    <w:rsid w:val="359D0A22"/>
    <w:rsid w:val="36B204FD"/>
    <w:rsid w:val="376712E7"/>
    <w:rsid w:val="3AFF0BE3"/>
    <w:rsid w:val="3B0D0D25"/>
    <w:rsid w:val="3BBA232E"/>
    <w:rsid w:val="3BFFC904"/>
    <w:rsid w:val="3DA94408"/>
    <w:rsid w:val="3E6B55CC"/>
    <w:rsid w:val="3F7E4313"/>
    <w:rsid w:val="3FFF2A1B"/>
    <w:rsid w:val="401D2E48"/>
    <w:rsid w:val="40AA0BC3"/>
    <w:rsid w:val="41B54C4E"/>
    <w:rsid w:val="426F0D21"/>
    <w:rsid w:val="44202F4A"/>
    <w:rsid w:val="46962374"/>
    <w:rsid w:val="48BF7799"/>
    <w:rsid w:val="499822F7"/>
    <w:rsid w:val="4BE041DA"/>
    <w:rsid w:val="4FCE7CFE"/>
    <w:rsid w:val="53A616BE"/>
    <w:rsid w:val="547748A2"/>
    <w:rsid w:val="582F1556"/>
    <w:rsid w:val="5954396A"/>
    <w:rsid w:val="597E4543"/>
    <w:rsid w:val="5D5969CE"/>
    <w:rsid w:val="5F7DD23D"/>
    <w:rsid w:val="625C3F35"/>
    <w:rsid w:val="62805827"/>
    <w:rsid w:val="628D3A49"/>
    <w:rsid w:val="631E3C32"/>
    <w:rsid w:val="64A008BA"/>
    <w:rsid w:val="680453AA"/>
    <w:rsid w:val="6BE75F78"/>
    <w:rsid w:val="6E317994"/>
    <w:rsid w:val="6FD28F92"/>
    <w:rsid w:val="6FFB0243"/>
    <w:rsid w:val="70C70859"/>
    <w:rsid w:val="73970283"/>
    <w:rsid w:val="75FDDF5B"/>
    <w:rsid w:val="79165B45"/>
    <w:rsid w:val="7AA796C3"/>
    <w:rsid w:val="7DFC7AEF"/>
    <w:rsid w:val="7ECD1128"/>
    <w:rsid w:val="7EECB6EA"/>
    <w:rsid w:val="7EEF937D"/>
    <w:rsid w:val="7F937831"/>
    <w:rsid w:val="7FF7DA86"/>
    <w:rsid w:val="AFBD6780"/>
    <w:rsid w:val="B59F8054"/>
    <w:rsid w:val="BD7EE8A9"/>
    <w:rsid w:val="BFEF8BD8"/>
    <w:rsid w:val="BFFF93A4"/>
    <w:rsid w:val="CBFCFE3A"/>
    <w:rsid w:val="CFCFC646"/>
    <w:rsid w:val="CFFFFB1E"/>
    <w:rsid w:val="D6FF9CC3"/>
    <w:rsid w:val="D7F721A1"/>
    <w:rsid w:val="E7BB829D"/>
    <w:rsid w:val="EC27AF02"/>
    <w:rsid w:val="EFD63894"/>
    <w:rsid w:val="F0160568"/>
    <w:rsid w:val="F57EEE68"/>
    <w:rsid w:val="F7ADC29C"/>
    <w:rsid w:val="FDFC4B24"/>
    <w:rsid w:val="FFFAF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suppressAutoHyphens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firstLine="602" w:firstLineChars="200"/>
      <w:jc w:val="both"/>
      <w:textAlignment w:val="auto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0" w:lineRule="exact"/>
      <w:ind w:firstLine="64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32"/>
    </w:rPr>
  </w:style>
  <w:style w:type="paragraph" w:styleId="4">
    <w:name w:val="heading 2"/>
    <w:next w:val="1"/>
    <w:unhideWhenUsed/>
    <w:qFormat/>
    <w:uiPriority w:val="0"/>
    <w:pPr>
      <w:keepNext/>
      <w:keepLines/>
      <w:pageBreakBefore w:val="0"/>
      <w:widowControl w:val="0"/>
      <w:suppressAutoHyphens/>
      <w:kinsoku/>
      <w:wordWrap/>
      <w:overflowPunct/>
      <w:topLinePunct w:val="0"/>
      <w:autoSpaceDE/>
      <w:autoSpaceDN/>
      <w:bidi w:val="0"/>
      <w:spacing w:beforeLines="0" w:beforeAutospacing="0" w:afterLines="0" w:afterAutospacing="0" w:line="560" w:lineRule="exact"/>
      <w:ind w:firstLine="881" w:firstLineChars="200"/>
      <w:jc w:val="both"/>
      <w:outlineLvl w:val="1"/>
    </w:pPr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</w:rPr>
  </w:style>
  <w:style w:type="paragraph" w:styleId="5">
    <w:name w:val="Normal Indent"/>
    <w:basedOn w:val="1"/>
    <w:qFormat/>
    <w:uiPriority w:val="0"/>
    <w:pPr>
      <w:spacing w:line="500" w:lineRule="atLeast"/>
      <w:ind w:firstLine="420"/>
    </w:pPr>
    <w:rPr>
      <w:sz w:val="28"/>
    </w:rPr>
  </w:style>
  <w:style w:type="paragraph" w:styleId="6">
    <w:name w:val="Body Text 3"/>
    <w:basedOn w:val="1"/>
    <w:qFormat/>
    <w:uiPriority w:val="0"/>
    <w:pPr>
      <w:spacing w:after="120"/>
    </w:pPr>
    <w:rPr>
      <w:kern w:val="0"/>
      <w:sz w:val="16"/>
      <w:szCs w:val="16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1445</Words>
  <Characters>1476</Characters>
  <Lines>0</Lines>
  <Paragraphs>0</Paragraphs>
  <TotalTime>10</TotalTime>
  <ScaleCrop>false</ScaleCrop>
  <LinksUpToDate>false</LinksUpToDate>
  <CharactersWithSpaces>1476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2024-12-13T09:43:00Z</dcterms:created>
  <dc:creator>zls</dc:creator>
  <cp:lastModifiedBy>Administrator</cp:lastModifiedBy>
  <cp:lastPrinted>2025-05-19T03:27:45Z</cp:lastPrinted>
  <dcterms:modified xsi:type="dcterms:W3CDTF">2025-05-19T03:31:14Z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8AF4FB2CE79E45FC9DCA7643303B6E73_13</vt:lpwstr>
  </property>
  <property fmtid="{D5CDD505-2E9C-101B-9397-08002B2CF9AE}" pid="4" name="KSOTemplateDocerSaveRecord">
    <vt:lpwstr>eyJoZGlkIjoiZTk2ZDhjN2ZkMTFjNGM1NDZmOGVjOWMyOTY0Njk2N2UifQ==</vt:lpwstr>
  </property>
</Properties>
</file>